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FA" w:rsidRPr="00E542FA" w:rsidRDefault="00E542FA" w:rsidP="00E542FA">
      <w:pPr>
        <w:jc w:val="center"/>
        <w:rPr>
          <w:b/>
        </w:rPr>
      </w:pPr>
      <w:r w:rsidRPr="00E542FA">
        <w:rPr>
          <w:b/>
        </w:rPr>
        <w:t xml:space="preserve">Konspekt zajęć </w:t>
      </w:r>
    </w:p>
    <w:p w:rsidR="00E542FA" w:rsidRPr="00E542FA" w:rsidRDefault="00E542FA" w:rsidP="00E542FA">
      <w:pPr>
        <w:jc w:val="center"/>
        <w:rPr>
          <w:b/>
        </w:rPr>
      </w:pPr>
      <w:r w:rsidRPr="00E542FA">
        <w:rPr>
          <w:b/>
        </w:rPr>
        <w:t>Savoir-vivre s.27</w:t>
      </w:r>
    </w:p>
    <w:p w:rsidR="00E542FA" w:rsidRPr="00E542FA" w:rsidRDefault="00E542FA" w:rsidP="00E542FA">
      <w:pPr>
        <w:jc w:val="center"/>
        <w:rPr>
          <w:b/>
        </w:rPr>
      </w:pPr>
      <w:r w:rsidRPr="00E542FA">
        <w:rPr>
          <w:b/>
        </w:rPr>
        <w:t>Data realizacji……………</w:t>
      </w:r>
    </w:p>
    <w:p w:rsidR="00E542FA" w:rsidRPr="00E542FA" w:rsidRDefault="00E542FA" w:rsidP="00E542FA">
      <w:pPr>
        <w:rPr>
          <w:b/>
        </w:rPr>
      </w:pPr>
    </w:p>
    <w:p w:rsidR="00E542FA" w:rsidRPr="00E542FA" w:rsidRDefault="00E542FA" w:rsidP="00E542FA">
      <w:r w:rsidRPr="00E542FA">
        <w:rPr>
          <w:b/>
        </w:rPr>
        <w:t>Prowadząca:</w:t>
      </w:r>
      <w:r w:rsidRPr="00E542FA">
        <w:t>…………………………………………………</w:t>
      </w:r>
    </w:p>
    <w:p w:rsidR="00E542FA" w:rsidRPr="00E542FA" w:rsidRDefault="00E542FA" w:rsidP="00E542FA">
      <w:pPr>
        <w:rPr>
          <w:b/>
        </w:rPr>
      </w:pPr>
      <w:r w:rsidRPr="00E542FA">
        <w:rPr>
          <w:b/>
        </w:rPr>
        <w:t>Klasa:</w:t>
      </w:r>
      <w:r w:rsidRPr="00E542FA">
        <w:t xml:space="preserve"> II</w:t>
      </w:r>
      <w:r w:rsidRPr="00E542FA">
        <w:rPr>
          <w:b/>
        </w:rPr>
        <w:t xml:space="preserve"> </w:t>
      </w:r>
    </w:p>
    <w:p w:rsidR="00E542FA" w:rsidRDefault="00E542FA" w:rsidP="00E542FA">
      <w:r w:rsidRPr="00E542FA">
        <w:rPr>
          <w:b/>
        </w:rPr>
        <w:t xml:space="preserve">Aktywność: </w:t>
      </w:r>
      <w:r w:rsidRPr="00E542FA">
        <w:t>język obcy nowożytny.</w:t>
      </w:r>
    </w:p>
    <w:p w:rsidR="009E2FEC" w:rsidRPr="00E542FA" w:rsidRDefault="009E2FEC" w:rsidP="00E542FA"/>
    <w:p w:rsidR="006C61DA" w:rsidRDefault="006C61DA" w:rsidP="006C61DA">
      <w:r w:rsidRPr="00E542FA">
        <w:rPr>
          <w:b/>
        </w:rPr>
        <w:t>Temat:</w:t>
      </w:r>
      <w:r w:rsidRPr="00E542FA">
        <w:t xml:space="preserve"> </w:t>
      </w:r>
      <w:r w:rsidR="002E45F7" w:rsidRPr="00E542FA">
        <w:t xml:space="preserve">Wir </w:t>
      </w:r>
      <w:proofErr w:type="spellStart"/>
      <w:r w:rsidR="002E45F7" w:rsidRPr="00E542FA">
        <w:t>lernen</w:t>
      </w:r>
      <w:proofErr w:type="spellEnd"/>
      <w:r w:rsidR="002E45F7" w:rsidRPr="00E542FA">
        <w:t xml:space="preserve"> </w:t>
      </w:r>
      <w:proofErr w:type="spellStart"/>
      <w:r w:rsidR="002E45F7" w:rsidRPr="00E542FA">
        <w:t>Deutsch</w:t>
      </w:r>
      <w:proofErr w:type="spellEnd"/>
      <w:r w:rsidR="002E45F7" w:rsidRPr="00E542FA">
        <w:t xml:space="preserve"> – Uczymy się języka niemieckiego</w:t>
      </w:r>
    </w:p>
    <w:p w:rsidR="009E2FEC" w:rsidRPr="00E542FA" w:rsidRDefault="009E2FEC" w:rsidP="006C61DA"/>
    <w:p w:rsidR="006C61DA" w:rsidRPr="00E542FA" w:rsidRDefault="006C61DA" w:rsidP="006C61DA">
      <w:pPr>
        <w:rPr>
          <w:b/>
        </w:rPr>
      </w:pPr>
      <w:r w:rsidRPr="00E542FA">
        <w:rPr>
          <w:b/>
        </w:rPr>
        <w:t xml:space="preserve">Cele: </w:t>
      </w:r>
    </w:p>
    <w:p w:rsidR="00A856C2" w:rsidRPr="00E542FA" w:rsidRDefault="006C61DA" w:rsidP="006C61DA">
      <w:pPr>
        <w:numPr>
          <w:ilvl w:val="0"/>
          <w:numId w:val="4"/>
        </w:numPr>
      </w:pPr>
      <w:r w:rsidRPr="00E542FA">
        <w:t xml:space="preserve">Cel ogólny – </w:t>
      </w:r>
      <w:r w:rsidR="00A856C2" w:rsidRPr="00E542FA">
        <w:t>Budzenie świadomości językowej w zakresie języka obcego.</w:t>
      </w:r>
    </w:p>
    <w:p w:rsidR="006C61DA" w:rsidRPr="00E542FA" w:rsidRDefault="006C61DA" w:rsidP="006C61DA">
      <w:pPr>
        <w:numPr>
          <w:ilvl w:val="0"/>
          <w:numId w:val="4"/>
        </w:numPr>
      </w:pPr>
      <w:r w:rsidRPr="00E542FA">
        <w:t>Cele szczegółowe - Uczeń:</w:t>
      </w:r>
    </w:p>
    <w:p w:rsidR="00A856C2" w:rsidRPr="00E542FA" w:rsidRDefault="00A856C2" w:rsidP="00A856C2">
      <w:pPr>
        <w:ind w:left="720"/>
      </w:pPr>
    </w:p>
    <w:p w:rsidR="006C61DA" w:rsidRPr="00E542FA" w:rsidRDefault="006C61DA" w:rsidP="006C61DA">
      <w:pPr>
        <w:numPr>
          <w:ilvl w:val="0"/>
          <w:numId w:val="1"/>
        </w:numPr>
      </w:pPr>
      <w:r w:rsidRPr="00E542FA">
        <w:t xml:space="preserve">Potrafi </w:t>
      </w:r>
      <w:r w:rsidR="002E45F7" w:rsidRPr="00E542FA">
        <w:t>uzasadnić dlaczego warto uczyć się języków obcych</w:t>
      </w:r>
    </w:p>
    <w:p w:rsidR="00A856C2" w:rsidRPr="00E542FA" w:rsidRDefault="00A856C2" w:rsidP="006C61DA">
      <w:pPr>
        <w:numPr>
          <w:ilvl w:val="0"/>
          <w:numId w:val="1"/>
        </w:numPr>
      </w:pPr>
      <w:r w:rsidRPr="00E542FA">
        <w:t>Wie, że ludzie posługują się różnymi językami.</w:t>
      </w:r>
    </w:p>
    <w:p w:rsidR="002E45F7" w:rsidRPr="00E542FA" w:rsidRDefault="002E45F7" w:rsidP="006C61DA">
      <w:pPr>
        <w:numPr>
          <w:ilvl w:val="0"/>
          <w:numId w:val="1"/>
        </w:numPr>
      </w:pPr>
      <w:r w:rsidRPr="00E542FA">
        <w:t>Potrafi nazwać kraje, w których urzędowym językiem jest język niemiecki.</w:t>
      </w:r>
    </w:p>
    <w:p w:rsidR="002E45F7" w:rsidRPr="00E542FA" w:rsidRDefault="002E45F7" w:rsidP="006C61DA">
      <w:pPr>
        <w:numPr>
          <w:ilvl w:val="0"/>
          <w:numId w:val="1"/>
        </w:numPr>
      </w:pPr>
      <w:r w:rsidRPr="00E542FA">
        <w:t>Zna barwy niemieckiej flagi i ich układ na fladze.</w:t>
      </w:r>
    </w:p>
    <w:p w:rsidR="002E45F7" w:rsidRPr="00E542FA" w:rsidRDefault="002E45F7" w:rsidP="006C61DA">
      <w:pPr>
        <w:numPr>
          <w:ilvl w:val="0"/>
          <w:numId w:val="1"/>
        </w:numPr>
      </w:pPr>
      <w:r w:rsidRPr="00E542FA">
        <w:t>Śpiewa krótką piosenkę.</w:t>
      </w:r>
    </w:p>
    <w:p w:rsidR="006C61DA" w:rsidRPr="00E542FA" w:rsidRDefault="006C61DA" w:rsidP="006C61DA"/>
    <w:p w:rsidR="006C61DA" w:rsidRPr="00E542FA" w:rsidRDefault="006C61DA" w:rsidP="006C61DA">
      <w:pPr>
        <w:rPr>
          <w:b/>
        </w:rPr>
      </w:pPr>
      <w:r w:rsidRPr="00E542FA">
        <w:rPr>
          <w:b/>
        </w:rPr>
        <w:t>Metoda:</w:t>
      </w:r>
    </w:p>
    <w:p w:rsidR="006C61DA" w:rsidRPr="00E542FA" w:rsidRDefault="006C61DA" w:rsidP="006C61DA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E542FA">
        <w:t>Podająca: rozmowa, dialog, piosenka</w:t>
      </w:r>
    </w:p>
    <w:p w:rsidR="006C61DA" w:rsidRPr="00E542FA" w:rsidRDefault="006C61DA" w:rsidP="006C61DA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E542FA">
        <w:t>Praktyczna - aktywizująca:</w:t>
      </w:r>
    </w:p>
    <w:p w:rsidR="006C61DA" w:rsidRPr="00E542FA" w:rsidRDefault="006C61DA" w:rsidP="006C61DA">
      <w:pPr>
        <w:numPr>
          <w:ilvl w:val="0"/>
          <w:numId w:val="3"/>
        </w:numPr>
        <w:tabs>
          <w:tab w:val="clear" w:pos="720"/>
          <w:tab w:val="num" w:pos="360"/>
        </w:tabs>
        <w:ind w:left="360"/>
      </w:pPr>
      <w:r w:rsidRPr="00E542FA">
        <w:t>zabawa ruchowa podczas śpiewania piosenki,</w:t>
      </w:r>
    </w:p>
    <w:p w:rsidR="002E45F7" w:rsidRPr="00E542FA" w:rsidRDefault="002E45F7" w:rsidP="006C61DA">
      <w:pPr>
        <w:numPr>
          <w:ilvl w:val="0"/>
          <w:numId w:val="3"/>
        </w:numPr>
        <w:tabs>
          <w:tab w:val="clear" w:pos="720"/>
          <w:tab w:val="num" w:pos="360"/>
        </w:tabs>
        <w:ind w:left="360"/>
      </w:pPr>
      <w:r w:rsidRPr="00E542FA">
        <w:t>burza mózgów</w:t>
      </w:r>
    </w:p>
    <w:p w:rsidR="006C61DA" w:rsidRPr="00E542FA" w:rsidRDefault="006C61DA" w:rsidP="006C61DA"/>
    <w:p w:rsidR="006C61DA" w:rsidRPr="00E542FA" w:rsidRDefault="006C61DA" w:rsidP="006C61DA">
      <w:r w:rsidRPr="00E542FA">
        <w:rPr>
          <w:b/>
        </w:rPr>
        <w:t>Formy:</w:t>
      </w:r>
      <w:r w:rsidRPr="00E542FA">
        <w:t xml:space="preserve"> </w:t>
      </w:r>
    </w:p>
    <w:p w:rsidR="006C61DA" w:rsidRPr="00E542FA" w:rsidRDefault="006C61DA" w:rsidP="006C61DA">
      <w:r w:rsidRPr="00E542FA">
        <w:t>indywidualna, zespołowa</w:t>
      </w:r>
    </w:p>
    <w:p w:rsidR="006C61DA" w:rsidRPr="00E542FA" w:rsidRDefault="006C61DA" w:rsidP="006C61DA">
      <w:pPr>
        <w:jc w:val="both"/>
        <w:rPr>
          <w:b/>
        </w:rPr>
      </w:pPr>
    </w:p>
    <w:p w:rsidR="006C61DA" w:rsidRPr="00E542FA" w:rsidRDefault="006C61DA" w:rsidP="006C61DA">
      <w:pPr>
        <w:tabs>
          <w:tab w:val="left" w:pos="0"/>
        </w:tabs>
        <w:jc w:val="both"/>
      </w:pPr>
      <w:r w:rsidRPr="00E542FA">
        <w:rPr>
          <w:b/>
        </w:rPr>
        <w:t>Środki dydaktyczne</w:t>
      </w:r>
      <w:r w:rsidRPr="00E542FA">
        <w:t xml:space="preserve">: tekst i nagranie piosenki, </w:t>
      </w:r>
      <w:r w:rsidR="00A856C2" w:rsidRPr="00E542FA">
        <w:t>ilustracje do wklejenia do zeszytu.</w:t>
      </w:r>
      <w:r w:rsidRPr="00E542FA">
        <w:t xml:space="preserve"> </w:t>
      </w:r>
    </w:p>
    <w:p w:rsidR="006C61DA" w:rsidRPr="00E542FA" w:rsidRDefault="006C61DA" w:rsidP="006C61DA">
      <w:pPr>
        <w:tabs>
          <w:tab w:val="left" w:pos="0"/>
        </w:tabs>
      </w:pPr>
      <w:r w:rsidRPr="00E542FA">
        <w:t xml:space="preserve"> </w:t>
      </w:r>
    </w:p>
    <w:p w:rsidR="006C61DA" w:rsidRPr="00E542FA" w:rsidRDefault="006C61DA" w:rsidP="006C61DA">
      <w:pPr>
        <w:tabs>
          <w:tab w:val="left" w:pos="180"/>
        </w:tabs>
        <w:ind w:left="180" w:hanging="180"/>
        <w:rPr>
          <w:b/>
        </w:rPr>
      </w:pPr>
      <w:r w:rsidRPr="00E542FA">
        <w:rPr>
          <w:b/>
        </w:rPr>
        <w:t>Przebieg:</w:t>
      </w:r>
    </w:p>
    <w:p w:rsidR="006C61DA" w:rsidRPr="00E542FA" w:rsidRDefault="006C61DA" w:rsidP="006C61DA">
      <w:pPr>
        <w:jc w:val="both"/>
      </w:pPr>
      <w:r w:rsidRPr="00E542FA">
        <w:t>N (Nauczyciel): Wita się z uczniami po niemiecku zwrotem „</w:t>
      </w:r>
      <w:proofErr w:type="spellStart"/>
      <w:r w:rsidRPr="00E542FA">
        <w:t>Guten</w:t>
      </w:r>
      <w:proofErr w:type="spellEnd"/>
      <w:r w:rsidRPr="00E542FA">
        <w:t xml:space="preserve"> </w:t>
      </w:r>
      <w:proofErr w:type="spellStart"/>
      <w:r w:rsidRPr="00E542FA">
        <w:t>Morgen</w:t>
      </w:r>
      <w:proofErr w:type="spellEnd"/>
      <w:r w:rsidRPr="00E542FA">
        <w:t>/</w:t>
      </w:r>
      <w:proofErr w:type="spellStart"/>
      <w:r w:rsidRPr="00E542FA">
        <w:t>Guten</w:t>
      </w:r>
      <w:proofErr w:type="spellEnd"/>
      <w:r w:rsidRPr="00E542FA">
        <w:t xml:space="preserve"> Tag” (w zależności od pory dnia)</w:t>
      </w:r>
      <w:r w:rsidR="002E45F7" w:rsidRPr="00E542FA">
        <w:t xml:space="preserve"> </w:t>
      </w:r>
    </w:p>
    <w:p w:rsidR="006C61DA" w:rsidRPr="00E542FA" w:rsidRDefault="00664B74" w:rsidP="006C61DA">
      <w:pPr>
        <w:jc w:val="both"/>
      </w:pPr>
      <w:r>
        <w:t xml:space="preserve">U (Uczeń/Uczniowie): </w:t>
      </w:r>
      <w:r w:rsidR="006C61DA" w:rsidRPr="00E542FA">
        <w:t>Odpowiadają na powitanie nauczyciela.</w:t>
      </w:r>
    </w:p>
    <w:p w:rsidR="006C61DA" w:rsidRPr="00E542FA" w:rsidRDefault="006C61DA" w:rsidP="006C61DA">
      <w:pPr>
        <w:jc w:val="both"/>
      </w:pPr>
    </w:p>
    <w:p w:rsidR="002E45F7" w:rsidRPr="00E542FA" w:rsidRDefault="006C61DA" w:rsidP="006C61DA">
      <w:pPr>
        <w:jc w:val="both"/>
      </w:pPr>
      <w:r w:rsidRPr="00E542FA">
        <w:t xml:space="preserve">N: </w:t>
      </w:r>
      <w:r w:rsidR="002E45F7" w:rsidRPr="00E542FA">
        <w:t xml:space="preserve">Zadaje pytanie </w:t>
      </w:r>
      <w:r w:rsidR="002F4513" w:rsidRPr="00E542FA">
        <w:t xml:space="preserve"> dlaczego warto uczyć się język</w:t>
      </w:r>
      <w:r w:rsidR="002E45F7" w:rsidRPr="00E542FA">
        <w:t xml:space="preserve">ów obcych. Słucha wypowiedzi uczniów, w razie potrzeby uzupełnia je, naprowadza na kolejne skojarzenia. </w:t>
      </w:r>
    </w:p>
    <w:p w:rsidR="002E45F7" w:rsidRPr="00E542FA" w:rsidRDefault="002E45F7" w:rsidP="006C61DA">
      <w:pPr>
        <w:jc w:val="both"/>
      </w:pPr>
    </w:p>
    <w:p w:rsidR="002E45F7" w:rsidRPr="00E542FA" w:rsidRDefault="002E45F7" w:rsidP="006C61DA">
      <w:pPr>
        <w:jc w:val="both"/>
      </w:pPr>
      <w:r w:rsidRPr="00E542FA">
        <w:t>U: Podają przykłady sytuacji, w kt</w:t>
      </w:r>
      <w:r w:rsidR="009E2FEC">
        <w:t>órych może przydać się znajomość</w:t>
      </w:r>
      <w:bookmarkStart w:id="0" w:name="_GoBack"/>
      <w:bookmarkEnd w:id="0"/>
      <w:r w:rsidRPr="00E542FA">
        <w:t xml:space="preserve"> języka obcego.</w:t>
      </w:r>
    </w:p>
    <w:p w:rsidR="002E45F7" w:rsidRPr="00E542FA" w:rsidRDefault="002E45F7" w:rsidP="006C61DA">
      <w:pPr>
        <w:jc w:val="both"/>
      </w:pPr>
    </w:p>
    <w:p w:rsidR="002F4513" w:rsidRPr="00E542FA" w:rsidRDefault="002E45F7" w:rsidP="006C61DA">
      <w:pPr>
        <w:jc w:val="both"/>
      </w:pPr>
      <w:r w:rsidRPr="00E542FA">
        <w:t>N: Zadaje kolejne pytanie, tym razem prosi uczniów o podanie kilku języków obcych</w:t>
      </w:r>
      <w:r w:rsidR="002F4513" w:rsidRPr="00E542FA">
        <w:t>, a następnie pyta, czy dzieci wiedzą w jakich krajach mówi się w języku niemieckim. Następnie uzupełnia wypowiedzi dzieci podając nazwy państw nie</w:t>
      </w:r>
      <w:r w:rsidR="00664B74">
        <w:t>mieckojęzycznych (Niemcy, Szwaj</w:t>
      </w:r>
      <w:r w:rsidR="002F4513" w:rsidRPr="00E542FA">
        <w:t>caria, Austria i Liechtenstein</w:t>
      </w:r>
      <w:r w:rsidR="00A856C2" w:rsidRPr="00E542FA">
        <w:t>)</w:t>
      </w:r>
      <w:r w:rsidR="002F4513" w:rsidRPr="00E542FA">
        <w:t>. Zwraca uwagę uczniom, jak wiele osób w Europie mówi w języku niemieckim i jak jego znajomość może być przydatna.</w:t>
      </w:r>
    </w:p>
    <w:p w:rsidR="002F4513" w:rsidRPr="00E542FA" w:rsidRDefault="002F4513" w:rsidP="006C61DA">
      <w:pPr>
        <w:jc w:val="both"/>
      </w:pPr>
    </w:p>
    <w:p w:rsidR="002F4513" w:rsidRPr="00E542FA" w:rsidRDefault="002F4513" w:rsidP="006C61DA">
      <w:pPr>
        <w:jc w:val="both"/>
      </w:pPr>
      <w:r w:rsidRPr="00E542FA">
        <w:t>U: Otrzymują kontur niemieckiej flagi i z pomocą nauczyciela malują flagę odpowiednimi kolorami.</w:t>
      </w:r>
    </w:p>
    <w:p w:rsidR="002F4513" w:rsidRPr="00E542FA" w:rsidRDefault="002F4513" w:rsidP="006C61DA">
      <w:pPr>
        <w:jc w:val="both"/>
      </w:pPr>
      <w:r w:rsidRPr="00E542FA">
        <w:lastRenderedPageBreak/>
        <w:t>Następnie wklejają powstały obrazek do zeszytów, zapisując pod nim nazwę języka niemieckiego (</w:t>
      </w:r>
      <w:proofErr w:type="spellStart"/>
      <w:r w:rsidRPr="00E542FA">
        <w:t>Deutsch</w:t>
      </w:r>
      <w:proofErr w:type="spellEnd"/>
      <w:r w:rsidRPr="00E542FA">
        <w:t xml:space="preserve"> – język niemiecki)</w:t>
      </w:r>
    </w:p>
    <w:p w:rsidR="002F4513" w:rsidRPr="00E542FA" w:rsidRDefault="002F4513" w:rsidP="006C61DA">
      <w:pPr>
        <w:jc w:val="both"/>
      </w:pPr>
    </w:p>
    <w:p w:rsidR="002A2D30" w:rsidRPr="00E542FA" w:rsidRDefault="002F4513" w:rsidP="002F4513">
      <w:pPr>
        <w:jc w:val="both"/>
      </w:pPr>
      <w:r w:rsidRPr="00E542FA">
        <w:t xml:space="preserve">N: Rozdaje uczniom kolejną ilustrację, tym razem </w:t>
      </w:r>
      <w:proofErr w:type="spellStart"/>
      <w:r w:rsidRPr="00E542FA">
        <w:t>sa</w:t>
      </w:r>
      <w:proofErr w:type="spellEnd"/>
      <w:r w:rsidRPr="00E542FA">
        <w:t xml:space="preserve"> to kontury państw niemieckojęzycznych. </w:t>
      </w:r>
    </w:p>
    <w:p w:rsidR="002A2D30" w:rsidRPr="00E542FA" w:rsidRDefault="002A2D30" w:rsidP="002F4513">
      <w:pPr>
        <w:jc w:val="both"/>
      </w:pPr>
      <w:r w:rsidRPr="00E542FA">
        <w:t>U: W</w:t>
      </w:r>
      <w:r w:rsidR="007E2098" w:rsidRPr="00E542FA">
        <w:t>klejają ilustra</w:t>
      </w:r>
      <w:r w:rsidRPr="00E542FA">
        <w:t>cję do zeszytów i porównują ukła</w:t>
      </w:r>
      <w:r w:rsidR="007E2098" w:rsidRPr="00E542FA">
        <w:t xml:space="preserve">d państw z plakatem przedstawiającym Niemcy wraz z innymi krajami niemieckojęzycznymi i sąsiednimi państwami. </w:t>
      </w:r>
    </w:p>
    <w:p w:rsidR="002A2D30" w:rsidRPr="00E542FA" w:rsidRDefault="002A2D30" w:rsidP="002F4513">
      <w:pPr>
        <w:jc w:val="both"/>
      </w:pPr>
    </w:p>
    <w:p w:rsidR="006C61DA" w:rsidRPr="00E542FA" w:rsidRDefault="002F4513" w:rsidP="002F4513">
      <w:pPr>
        <w:jc w:val="both"/>
      </w:pPr>
      <w:r w:rsidRPr="00E542FA">
        <w:t xml:space="preserve"> </w:t>
      </w:r>
      <w:r w:rsidR="00664B74">
        <w:t>N: Odtwarza z płyty krótką pi</w:t>
      </w:r>
      <w:r w:rsidR="002A2D30" w:rsidRPr="00E542FA">
        <w:t>o</w:t>
      </w:r>
      <w:r w:rsidR="00664B74">
        <w:t>s</w:t>
      </w:r>
      <w:r w:rsidR="002A2D30" w:rsidRPr="00E542FA">
        <w:t xml:space="preserve">enkę </w:t>
      </w:r>
    </w:p>
    <w:p w:rsidR="002A2D30" w:rsidRPr="00E542FA" w:rsidRDefault="002A2D30" w:rsidP="002F4513">
      <w:pPr>
        <w:jc w:val="both"/>
        <w:rPr>
          <w:i/>
          <w:lang w:val="de-DE"/>
        </w:rPr>
      </w:pPr>
      <w:r w:rsidRPr="00E542FA">
        <w:rPr>
          <w:i/>
          <w:lang w:val="de-DE"/>
        </w:rPr>
        <w:t>Ich und du, ich und du – wir lernen Deutsch im Nu.</w:t>
      </w:r>
    </w:p>
    <w:p w:rsidR="002A2D30" w:rsidRPr="00E542FA" w:rsidRDefault="002A2D30" w:rsidP="002F4513">
      <w:pPr>
        <w:jc w:val="both"/>
        <w:rPr>
          <w:i/>
          <w:lang w:val="de-DE"/>
        </w:rPr>
      </w:pPr>
      <w:r w:rsidRPr="00E542FA">
        <w:rPr>
          <w:i/>
          <w:lang w:val="de-DE"/>
        </w:rPr>
        <w:t>Wir singen und sind froh. Wir lernen einfach so. Einfach so.</w:t>
      </w:r>
    </w:p>
    <w:p w:rsidR="002A2D30" w:rsidRPr="00E542FA" w:rsidRDefault="002A2D30" w:rsidP="002F4513">
      <w:pPr>
        <w:jc w:val="both"/>
        <w:rPr>
          <w:i/>
          <w:lang w:val="de-DE"/>
        </w:rPr>
      </w:pPr>
    </w:p>
    <w:p w:rsidR="006C61DA" w:rsidRPr="00E542FA" w:rsidRDefault="002A2D30" w:rsidP="002A2D30">
      <w:pPr>
        <w:jc w:val="both"/>
      </w:pPr>
      <w:r w:rsidRPr="00E542FA">
        <w:t>U: Uczniowie powtarzają słowa piosenki wykonując przy tym ruchy zaproponowane przez nauczyciela, śpiewają w grupie i indywidualnie.</w:t>
      </w:r>
    </w:p>
    <w:p w:rsidR="002A2D30" w:rsidRPr="00E542FA" w:rsidRDefault="002A2D30" w:rsidP="002A2D30">
      <w:pPr>
        <w:jc w:val="both"/>
      </w:pPr>
    </w:p>
    <w:p w:rsidR="002A2D30" w:rsidRPr="00E542FA" w:rsidRDefault="002A2D30" w:rsidP="002A2D30">
      <w:pPr>
        <w:jc w:val="both"/>
      </w:pPr>
      <w:r w:rsidRPr="00E542FA">
        <w:t>N: Prosi uczniów aby na następną lekcję przynieśli opakowania niemieckich produktów, widokówki, bilety lub inne materiały autentyczne związane z Niemcami.</w:t>
      </w:r>
    </w:p>
    <w:p w:rsidR="002A2D30" w:rsidRPr="00E542FA" w:rsidRDefault="002A2D30" w:rsidP="002A2D30">
      <w:pPr>
        <w:jc w:val="both"/>
      </w:pPr>
    </w:p>
    <w:p w:rsidR="002A2D30" w:rsidRDefault="002A2D30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E542FA" w:rsidRDefault="00E542FA" w:rsidP="002A2D30">
      <w:pPr>
        <w:jc w:val="both"/>
      </w:pPr>
    </w:p>
    <w:p w:rsidR="009E2FEC" w:rsidRDefault="009E2FEC" w:rsidP="002A2D30">
      <w:pPr>
        <w:jc w:val="both"/>
      </w:pPr>
    </w:p>
    <w:p w:rsidR="00E542FA" w:rsidRPr="00E542FA" w:rsidRDefault="00E542FA" w:rsidP="002A2D30">
      <w:pPr>
        <w:jc w:val="both"/>
      </w:pPr>
    </w:p>
    <w:p w:rsidR="002A2D30" w:rsidRPr="00E542FA" w:rsidRDefault="009E2FEC" w:rsidP="002A2D30">
      <w:pPr>
        <w:jc w:val="both"/>
        <w:rPr>
          <w:b/>
        </w:rPr>
      </w:pPr>
      <w:r>
        <w:rPr>
          <w:b/>
        </w:rPr>
        <w:lastRenderedPageBreak/>
        <w:t xml:space="preserve">Załącznik nr </w:t>
      </w:r>
      <w:r w:rsidR="00E542FA" w:rsidRPr="00E542FA">
        <w:rPr>
          <w:b/>
        </w:rPr>
        <w:t>1</w:t>
      </w:r>
    </w:p>
    <w:p w:rsidR="002A2D30" w:rsidRPr="00E542FA" w:rsidRDefault="002A2D30" w:rsidP="002A2D30">
      <w:pPr>
        <w:jc w:val="both"/>
        <w:rPr>
          <w:i/>
        </w:rPr>
      </w:pPr>
      <w:r w:rsidRPr="00E542FA">
        <w:rPr>
          <w:i/>
        </w:rPr>
        <w:t>Kontur flagi do skserowania dla każdego ucznia</w:t>
      </w:r>
    </w:p>
    <w:p w:rsidR="002A2D30" w:rsidRPr="00E542FA" w:rsidRDefault="002A2D30" w:rsidP="002A2D30">
      <w:pPr>
        <w:jc w:val="both"/>
        <w:rPr>
          <w:i/>
        </w:rPr>
      </w:pPr>
    </w:p>
    <w:p w:rsidR="002A2D30" w:rsidRPr="00E542FA" w:rsidRDefault="002A2D30" w:rsidP="002A2D30">
      <w:pPr>
        <w:jc w:val="both"/>
        <w:rPr>
          <w:i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583"/>
      </w:tblGrid>
      <w:tr w:rsidR="002A2D30" w:rsidRPr="00E542FA" w:rsidTr="002A2D30">
        <w:trPr>
          <w:jc w:val="center"/>
        </w:trPr>
        <w:tc>
          <w:tcPr>
            <w:tcW w:w="6583" w:type="dxa"/>
          </w:tcPr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</w:tc>
      </w:tr>
      <w:tr w:rsidR="002A2D30" w:rsidRPr="00E542FA" w:rsidTr="002A2D30">
        <w:trPr>
          <w:jc w:val="center"/>
        </w:trPr>
        <w:tc>
          <w:tcPr>
            <w:tcW w:w="6583" w:type="dxa"/>
          </w:tcPr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</w:tc>
      </w:tr>
      <w:tr w:rsidR="002A2D30" w:rsidRPr="00E542FA" w:rsidTr="002A2D30">
        <w:trPr>
          <w:jc w:val="center"/>
        </w:trPr>
        <w:tc>
          <w:tcPr>
            <w:tcW w:w="6583" w:type="dxa"/>
          </w:tcPr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both"/>
              <w:rPr>
                <w:b/>
                <w:i/>
              </w:rPr>
            </w:pPr>
          </w:p>
          <w:p w:rsidR="002A2D30" w:rsidRPr="00E542FA" w:rsidRDefault="002A2D30" w:rsidP="002A2D30">
            <w:pPr>
              <w:jc w:val="center"/>
              <w:rPr>
                <w:b/>
                <w:i/>
              </w:rPr>
            </w:pPr>
          </w:p>
        </w:tc>
      </w:tr>
    </w:tbl>
    <w:p w:rsidR="002A2D30" w:rsidRDefault="002A2D30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Default="00E542FA" w:rsidP="002A2D30">
      <w:pPr>
        <w:jc w:val="both"/>
        <w:rPr>
          <w:b/>
          <w:i/>
        </w:rPr>
      </w:pPr>
    </w:p>
    <w:p w:rsidR="00E542FA" w:rsidRPr="00E542FA" w:rsidRDefault="00E542FA" w:rsidP="002A2D30">
      <w:pPr>
        <w:jc w:val="both"/>
        <w:rPr>
          <w:b/>
          <w:i/>
        </w:rPr>
      </w:pPr>
    </w:p>
    <w:p w:rsidR="002A2D30" w:rsidRPr="00E542FA" w:rsidRDefault="002A2D30" w:rsidP="002A2D30">
      <w:pPr>
        <w:jc w:val="both"/>
        <w:rPr>
          <w:b/>
          <w:i/>
        </w:rPr>
      </w:pPr>
    </w:p>
    <w:p w:rsidR="00E542FA" w:rsidRPr="00E542FA" w:rsidRDefault="009E2FEC" w:rsidP="002A2D30">
      <w:pPr>
        <w:jc w:val="both"/>
        <w:rPr>
          <w:b/>
        </w:rPr>
      </w:pPr>
      <w:r>
        <w:rPr>
          <w:b/>
        </w:rPr>
        <w:lastRenderedPageBreak/>
        <w:t xml:space="preserve">Załącznik nr </w:t>
      </w:r>
      <w:r w:rsidR="00E542FA" w:rsidRPr="00E542FA">
        <w:rPr>
          <w:b/>
        </w:rPr>
        <w:t>2</w:t>
      </w:r>
    </w:p>
    <w:p w:rsidR="002A2D30" w:rsidRPr="00E542FA" w:rsidRDefault="002A2D30" w:rsidP="002A2D30">
      <w:pPr>
        <w:jc w:val="both"/>
        <w:rPr>
          <w:i/>
        </w:rPr>
      </w:pPr>
      <w:r w:rsidRPr="00E542FA">
        <w:rPr>
          <w:i/>
        </w:rPr>
        <w:t>Ilustracja przedstawiająca kraje niemieckojęzyczne (do wklejenia do zeszytów)</w:t>
      </w:r>
    </w:p>
    <w:p w:rsidR="002A2D30" w:rsidRPr="00E542FA" w:rsidRDefault="002A2D30" w:rsidP="002A2D30">
      <w:pPr>
        <w:jc w:val="both"/>
        <w:rPr>
          <w:i/>
        </w:rPr>
      </w:pPr>
    </w:p>
    <w:p w:rsidR="002A2D30" w:rsidRPr="00E542FA" w:rsidRDefault="00A856C2" w:rsidP="00A856C2">
      <w:pPr>
        <w:jc w:val="center"/>
        <w:rPr>
          <w:i/>
        </w:rPr>
      </w:pPr>
      <w:r w:rsidRPr="00E542FA">
        <w:rPr>
          <w:i/>
          <w:noProof/>
        </w:rPr>
        <w:drawing>
          <wp:inline distT="0" distB="0" distL="0" distR="0" wp14:anchorId="2E853445" wp14:editId="47330326">
            <wp:extent cx="4962525" cy="6562725"/>
            <wp:effectExtent l="0" t="0" r="9525" b="9525"/>
            <wp:docPr id="1" name="Obraz 0" descr="karte_DACH-235x3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e_DACH-235x300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8747" cy="657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2D30" w:rsidRPr="00E542FA" w:rsidSect="00A236F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6DE" w:rsidRDefault="000226DE" w:rsidP="00E542FA">
      <w:r>
        <w:separator/>
      </w:r>
    </w:p>
  </w:endnote>
  <w:endnote w:type="continuationSeparator" w:id="0">
    <w:p w:rsidR="000226DE" w:rsidRDefault="000226DE" w:rsidP="00E54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50645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42FA" w:rsidRDefault="00E542F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F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42FA" w:rsidRDefault="00E542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6DE" w:rsidRDefault="000226DE" w:rsidP="00E542FA">
      <w:r>
        <w:separator/>
      </w:r>
    </w:p>
  </w:footnote>
  <w:footnote w:type="continuationSeparator" w:id="0">
    <w:p w:rsidR="000226DE" w:rsidRDefault="000226DE" w:rsidP="00E54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79BA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DA"/>
    <w:rsid w:val="000219F1"/>
    <w:rsid w:val="000226DE"/>
    <w:rsid w:val="0005181F"/>
    <w:rsid w:val="00072B58"/>
    <w:rsid w:val="002A2D30"/>
    <w:rsid w:val="002E45F7"/>
    <w:rsid w:val="002F4513"/>
    <w:rsid w:val="00664B74"/>
    <w:rsid w:val="006C61DA"/>
    <w:rsid w:val="007E2098"/>
    <w:rsid w:val="00921E68"/>
    <w:rsid w:val="009E2FEC"/>
    <w:rsid w:val="00A236FD"/>
    <w:rsid w:val="00A856C2"/>
    <w:rsid w:val="00E5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856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C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42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2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2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2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856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C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42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2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2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2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0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2014-10-18T19:54:00Z</dcterms:created>
  <dcterms:modified xsi:type="dcterms:W3CDTF">2015-11-16T16:22:00Z</dcterms:modified>
</cp:coreProperties>
</file>